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179A4" w14:textId="77777777" w:rsidR="00866595" w:rsidRPr="006537C4" w:rsidRDefault="00866595" w:rsidP="00866595">
      <w:pPr>
        <w:pStyle w:val="ecmsonormal"/>
        <w:shd w:val="clear" w:color="auto" w:fill="FFFFFF"/>
        <w:spacing w:after="0"/>
        <w:jc w:val="center"/>
        <w:rPr>
          <w:rFonts w:ascii="Times New Roman" w:hAnsi="Times New Roman" w:cs="Times New Roman"/>
          <w:smallCaps/>
          <w:spacing w:val="-3"/>
          <w:u w:val="single"/>
          <w:lang w:val="es-AR"/>
        </w:rPr>
      </w:pPr>
    </w:p>
    <w:p w14:paraId="2A0450E3" w14:textId="19F3E4C0" w:rsidR="00866595" w:rsidRPr="006537C4" w:rsidRDefault="00866595" w:rsidP="00866595">
      <w:pPr>
        <w:pStyle w:val="ecmsonormal"/>
        <w:shd w:val="clear" w:color="auto" w:fill="FFFFFF"/>
        <w:tabs>
          <w:tab w:val="left" w:pos="1633"/>
          <w:tab w:val="center" w:pos="6926"/>
        </w:tabs>
        <w:spacing w:after="0"/>
        <w:jc w:val="center"/>
        <w:rPr>
          <w:rFonts w:ascii="Times New Roman" w:hAnsi="Times New Roman" w:cs="Times New Roman"/>
          <w:smallCaps/>
          <w:spacing w:val="-3"/>
          <w:u w:val="single"/>
          <w:lang w:val="es-AR"/>
        </w:rPr>
      </w:pPr>
      <w:r w:rsidRPr="00866595">
        <w:rPr>
          <w:rFonts w:ascii="Times New Roman" w:hAnsi="Times New Roman" w:cs="Times New Roman"/>
          <w:smallCaps/>
          <w:spacing w:val="-3"/>
          <w:u w:val="single"/>
          <w:lang w:val="es-AR"/>
        </w:rPr>
        <w:t>Reunión del mes de Abril de 2026</w:t>
      </w:r>
    </w:p>
    <w:p w14:paraId="029FD2CF" w14:textId="77777777" w:rsidR="00866595" w:rsidRPr="006537C4" w:rsidRDefault="00866595" w:rsidP="00866595">
      <w:pPr>
        <w:pStyle w:val="ecmsonormal"/>
        <w:shd w:val="clear" w:color="auto" w:fill="FFFFFF"/>
        <w:tabs>
          <w:tab w:val="left" w:pos="1633"/>
          <w:tab w:val="center" w:pos="6926"/>
        </w:tabs>
        <w:spacing w:after="0"/>
        <w:jc w:val="center"/>
        <w:rPr>
          <w:rFonts w:ascii="Times New Roman" w:hAnsi="Times New Roman" w:cs="Times New Roman"/>
          <w:smallCaps/>
          <w:spacing w:val="-3"/>
          <w:u w:val="single"/>
          <w:lang w:val="es-AR"/>
        </w:rPr>
      </w:pPr>
    </w:p>
    <w:p w14:paraId="48670778" w14:textId="77777777" w:rsidR="00866595" w:rsidRPr="006537C4" w:rsidRDefault="00866595" w:rsidP="00866595">
      <w:pPr>
        <w:shd w:val="clear" w:color="auto" w:fill="FFFFFF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4"/>
      </w:tblGrid>
      <w:tr w:rsidR="00866595" w:rsidRPr="006537C4" w14:paraId="2304467E" w14:textId="77777777" w:rsidTr="0079744D">
        <w:tc>
          <w:tcPr>
            <w:tcW w:w="8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3243" w14:textId="0ECA99BA" w:rsidR="009D50D4" w:rsidRDefault="009D50D4" w:rsidP="009D50D4">
            <w:pPr>
              <w:spacing w:after="160" w:line="259" w:lineRule="auto"/>
              <w:rPr>
                <w:lang w:val="es-ES"/>
              </w:rPr>
            </w:pPr>
          </w:p>
          <w:p w14:paraId="55042D46" w14:textId="7B8A52B9" w:rsidR="00BB2BAD" w:rsidRDefault="00BB2BAD" w:rsidP="00BB2BAD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lang w:val="es-ES"/>
              </w:rPr>
            </w:pPr>
            <w:r w:rsidRPr="00910300">
              <w:rPr>
                <w:b/>
                <w:bCs/>
                <w:lang w:val="es-ES"/>
              </w:rPr>
              <w:t>Comisión Arbitral. Domicilio</w:t>
            </w:r>
            <w:r w:rsidR="002548D0">
              <w:rPr>
                <w:b/>
                <w:bCs/>
                <w:lang w:val="es-ES"/>
              </w:rPr>
              <w:t xml:space="preserve"> fiscal</w:t>
            </w:r>
            <w:r w:rsidRPr="00910300">
              <w:rPr>
                <w:b/>
                <w:bCs/>
                <w:lang w:val="es-ES"/>
              </w:rPr>
              <w:t xml:space="preserve"> federal.</w:t>
            </w:r>
            <w:r>
              <w:rPr>
                <w:lang w:val="es-ES"/>
              </w:rPr>
              <w:t xml:space="preserve"> Expone:</w:t>
            </w:r>
            <w:r w:rsidR="0085592F">
              <w:rPr>
                <w:lang w:val="es-ES"/>
              </w:rPr>
              <w:t xml:space="preserve"> </w:t>
            </w:r>
            <w:r>
              <w:rPr>
                <w:lang w:val="es-ES"/>
              </w:rPr>
              <w:t>Pte. COMARB, Luis María Capellano</w:t>
            </w:r>
            <w:r w:rsidR="00583C92">
              <w:rPr>
                <w:lang w:val="es-ES"/>
              </w:rPr>
              <w:t xml:space="preserve">. </w:t>
            </w:r>
            <w:r w:rsidR="00947718">
              <w:rPr>
                <w:lang w:val="es-ES"/>
              </w:rPr>
              <w:t>Gonzalo Ezcurra. Gerente de Coordinación Operativa de la Comisión Arbitral.</w:t>
            </w:r>
          </w:p>
          <w:p w14:paraId="2AAED558" w14:textId="77777777" w:rsidR="004212E3" w:rsidRPr="00BB2BAD" w:rsidRDefault="004212E3" w:rsidP="004212E3">
            <w:pPr>
              <w:pStyle w:val="ListParagraph"/>
              <w:spacing w:after="160" w:line="259" w:lineRule="auto"/>
              <w:rPr>
                <w:lang w:val="es-ES"/>
              </w:rPr>
            </w:pPr>
          </w:p>
          <w:p w14:paraId="513B675B" w14:textId="5F25844B" w:rsidR="004212E3" w:rsidRPr="004212E3" w:rsidRDefault="007159C9" w:rsidP="004212E3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lang w:val="es-ES"/>
              </w:rPr>
            </w:pPr>
            <w:r w:rsidRPr="00FB4F7B">
              <w:rPr>
                <w:b/>
                <w:bCs/>
                <w:lang w:val="es-ES"/>
              </w:rPr>
              <w:t>AGIP.</w:t>
            </w:r>
            <w:r w:rsidRPr="009D50D4">
              <w:rPr>
                <w:lang w:val="es-ES"/>
              </w:rPr>
              <w:t xml:space="preserve"> Tratamiento </w:t>
            </w:r>
            <w:proofErr w:type="spellStart"/>
            <w:r w:rsidRPr="009D50D4">
              <w:rPr>
                <w:lang w:val="es-ES"/>
              </w:rPr>
              <w:t>criptoactivos</w:t>
            </w:r>
            <w:proofErr w:type="spellEnd"/>
            <w:r w:rsidRPr="009D50D4">
              <w:rPr>
                <w:lang w:val="es-ES"/>
              </w:rPr>
              <w:t xml:space="preserve"> y FCI. Expone</w:t>
            </w:r>
            <w:r w:rsidR="00910300">
              <w:rPr>
                <w:lang w:val="es-ES"/>
              </w:rPr>
              <w:t>n</w:t>
            </w:r>
            <w:r w:rsidRPr="009D50D4">
              <w:rPr>
                <w:lang w:val="es-ES"/>
              </w:rPr>
              <w:t>: Juan Ignacio Nigrelli</w:t>
            </w:r>
            <w:r w:rsidR="00910300">
              <w:rPr>
                <w:lang w:val="es-ES"/>
              </w:rPr>
              <w:t xml:space="preserve"> y Daniel Borrego</w:t>
            </w:r>
            <w:r w:rsidRPr="009D50D4">
              <w:rPr>
                <w:lang w:val="es-ES"/>
              </w:rPr>
              <w:t>.</w:t>
            </w:r>
          </w:p>
          <w:p w14:paraId="6D89E9F7" w14:textId="77777777" w:rsidR="004212E3" w:rsidRPr="004212E3" w:rsidRDefault="004212E3" w:rsidP="004212E3">
            <w:pPr>
              <w:pStyle w:val="ListParagraph"/>
              <w:spacing w:after="160" w:line="259" w:lineRule="auto"/>
              <w:rPr>
                <w:lang w:val="es-ES"/>
              </w:rPr>
            </w:pPr>
          </w:p>
          <w:p w14:paraId="092B0EB9" w14:textId="3D512875" w:rsidR="004212E3" w:rsidRPr="004212E3" w:rsidRDefault="007159C9" w:rsidP="004212E3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lang w:val="es-ES"/>
              </w:rPr>
            </w:pPr>
            <w:r w:rsidRPr="00FB4F7B">
              <w:rPr>
                <w:b/>
                <w:bCs/>
                <w:lang w:val="es-ES"/>
              </w:rPr>
              <w:t>PRESCRIPCIÓN DE TRIBUTOS LOCALES</w:t>
            </w:r>
            <w:r>
              <w:rPr>
                <w:lang w:val="es-ES"/>
              </w:rPr>
              <w:t>. Ley de Inocencia Fiscal Expone</w:t>
            </w:r>
            <w:r w:rsidR="004720B5">
              <w:rPr>
                <w:lang w:val="es-ES"/>
              </w:rPr>
              <w:t>:</w:t>
            </w:r>
            <w:r>
              <w:rPr>
                <w:lang w:val="es-ES"/>
              </w:rPr>
              <w:t xml:space="preserve"> María Inés Giménez</w:t>
            </w:r>
            <w:r w:rsidR="004212E3">
              <w:rPr>
                <w:lang w:val="es-ES"/>
              </w:rPr>
              <w:t>.</w:t>
            </w:r>
          </w:p>
          <w:p w14:paraId="7D4C0D7D" w14:textId="77777777" w:rsidR="004212E3" w:rsidRPr="004212E3" w:rsidRDefault="004212E3" w:rsidP="004212E3">
            <w:pPr>
              <w:pStyle w:val="ListParagraph"/>
              <w:spacing w:after="160" w:line="259" w:lineRule="auto"/>
              <w:rPr>
                <w:lang w:val="es-ES"/>
              </w:rPr>
            </w:pPr>
          </w:p>
          <w:p w14:paraId="415EBDCF" w14:textId="2206E356" w:rsidR="007159C9" w:rsidRDefault="007159C9" w:rsidP="007159C9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lang w:val="es-ES"/>
              </w:rPr>
            </w:pPr>
            <w:r w:rsidRPr="00100D30">
              <w:rPr>
                <w:b/>
                <w:bCs/>
                <w:lang w:val="es-ES"/>
              </w:rPr>
              <w:t>Domicilio fiscal electrónico TFA</w:t>
            </w:r>
            <w:r w:rsidR="00100D30" w:rsidRPr="00100D30">
              <w:rPr>
                <w:b/>
                <w:bCs/>
                <w:lang w:val="es-ES"/>
              </w:rPr>
              <w:t xml:space="preserve"> PBA</w:t>
            </w:r>
            <w:r>
              <w:rPr>
                <w:lang w:val="es-ES"/>
              </w:rPr>
              <w:t xml:space="preserve">. A partir de mayo. Obligatorio para los nuevos, opcional para los </w:t>
            </w:r>
            <w:r w:rsidR="00D869D7">
              <w:rPr>
                <w:lang w:val="es-ES"/>
              </w:rPr>
              <w:t xml:space="preserve">expedientes </w:t>
            </w:r>
            <w:r>
              <w:rPr>
                <w:lang w:val="es-ES"/>
              </w:rPr>
              <w:t xml:space="preserve">en trámite. Expone: </w:t>
            </w:r>
            <w:r w:rsidR="00583C92">
              <w:rPr>
                <w:lang w:val="es-ES"/>
              </w:rPr>
              <w:t>Hernán Colli. Responsable Ejecutivo de la Unidad de Asistencia de la Presidencia del Tribunal Fiscal de Apelaciones.</w:t>
            </w:r>
          </w:p>
          <w:p w14:paraId="543C292B" w14:textId="28DFA81C" w:rsidR="00866595" w:rsidRPr="00866595" w:rsidRDefault="00866595" w:rsidP="00866595">
            <w:pPr>
              <w:rPr>
                <w:color w:val="EE0000"/>
                <w:lang w:val="es-ES"/>
              </w:rPr>
            </w:pPr>
          </w:p>
        </w:tc>
      </w:tr>
    </w:tbl>
    <w:p w14:paraId="76110A84" w14:textId="77777777" w:rsidR="00866595" w:rsidRPr="006537C4" w:rsidRDefault="00866595" w:rsidP="00866595">
      <w:pPr>
        <w:shd w:val="clear" w:color="auto" w:fill="FFFFFF"/>
        <w:jc w:val="both"/>
        <w:rPr>
          <w:rFonts w:eastAsia="Tahoma"/>
          <w:smallCaps/>
          <w:spacing w:val="-3"/>
          <w:u w:val="single"/>
          <w:lang w:val="es-AR"/>
        </w:rPr>
      </w:pPr>
    </w:p>
    <w:p w14:paraId="06CD5362" w14:textId="77777777" w:rsidR="00866595" w:rsidRPr="006537C4" w:rsidRDefault="00866595" w:rsidP="00866595">
      <w:pPr>
        <w:shd w:val="clear" w:color="auto" w:fill="FFFFFF"/>
        <w:jc w:val="both"/>
        <w:rPr>
          <w:rFonts w:eastAsia="Tahoma"/>
          <w:b/>
          <w:bCs/>
          <w:smallCaps/>
          <w:spacing w:val="-3"/>
          <w:lang w:val="es-AR"/>
        </w:rPr>
      </w:pPr>
    </w:p>
    <w:p w14:paraId="0E047999" w14:textId="77777777" w:rsidR="00866595" w:rsidRPr="006537C4" w:rsidRDefault="00866595" w:rsidP="00866595">
      <w:pPr>
        <w:shd w:val="clear" w:color="auto" w:fill="FFFFFF"/>
        <w:jc w:val="both"/>
        <w:rPr>
          <w:rFonts w:eastAsia="Tahoma"/>
          <w:smallCaps/>
          <w:spacing w:val="-3"/>
          <w:u w:val="single"/>
          <w:lang w:val="es-AR"/>
        </w:rPr>
      </w:pPr>
      <w:r w:rsidRPr="006537C4">
        <w:rPr>
          <w:rFonts w:eastAsia="Tahoma"/>
          <w:smallCaps/>
          <w:spacing w:val="-3"/>
          <w:u w:val="single"/>
          <w:lang w:val="es-AR"/>
        </w:rPr>
        <w:t>Jurisprudencia.</w:t>
      </w:r>
    </w:p>
    <w:p w14:paraId="5CB98F63" w14:textId="77777777" w:rsidR="00866595" w:rsidRDefault="00866595" w:rsidP="00BF3DF4">
      <w:pPr>
        <w:pStyle w:val="ListParagraph"/>
        <w:ind w:left="0"/>
        <w:jc w:val="both"/>
        <w:rPr>
          <w:bCs/>
          <w:lang w:val="es-ES"/>
        </w:rPr>
      </w:pPr>
      <w:r w:rsidRPr="006537C4">
        <w:rPr>
          <w:bCs/>
          <w:lang w:val="es-ES"/>
        </w:rPr>
        <w:t xml:space="preserve"> </w:t>
      </w:r>
    </w:p>
    <w:p w14:paraId="4AD7432F" w14:textId="6116E89C" w:rsidR="00DF3B07" w:rsidRDefault="00DF3B07" w:rsidP="009A60CA">
      <w:pPr>
        <w:jc w:val="both"/>
      </w:pPr>
    </w:p>
    <w:p w14:paraId="3F393A0A" w14:textId="416BD3A6" w:rsidR="00DF3B07" w:rsidRDefault="00F52030" w:rsidP="007903A5">
      <w:pPr>
        <w:pStyle w:val="ListParagraph"/>
        <w:numPr>
          <w:ilvl w:val="0"/>
          <w:numId w:val="5"/>
        </w:numPr>
        <w:jc w:val="both"/>
      </w:pPr>
      <w:r>
        <w:t xml:space="preserve">Ingresos Brutos. </w:t>
      </w:r>
      <w:r w:rsidR="0058694E">
        <w:t>Exclusión de objeto. Administradora de consorcio de un bar</w:t>
      </w:r>
      <w:r w:rsidR="00FF6108">
        <w:t>r</w:t>
      </w:r>
      <w:r w:rsidR="0058694E">
        <w:t>io privado. “</w:t>
      </w:r>
      <w:r w:rsidR="000A6772">
        <w:t>Barrio Privado Lomas del Carmen S.A. c/ A.R.B.A. s/ pretensión anulatoria</w:t>
      </w:r>
      <w:r w:rsidR="009B29E9">
        <w:t xml:space="preserve"> – otros juicios – recurso extraordinario de inaplicabilidad de ley”, Suprema Corte de Justicia de la Provincia de Buenos Aires, sentencia del 6 de abril de 2026.</w:t>
      </w:r>
      <w:r w:rsidR="009A60CA">
        <w:t xml:space="preserve"> Expone; Rodrigo Lema.</w:t>
      </w:r>
    </w:p>
    <w:p w14:paraId="77501063" w14:textId="77777777" w:rsidR="00EE1B40" w:rsidRDefault="00EE1B40" w:rsidP="00EE1B40">
      <w:pPr>
        <w:pStyle w:val="ListParagraph"/>
        <w:jc w:val="both"/>
      </w:pPr>
    </w:p>
    <w:p w14:paraId="4C3C1D27" w14:textId="473417DC" w:rsidR="00E94E0D" w:rsidRDefault="008D32D1" w:rsidP="00BF3DF4">
      <w:pPr>
        <w:pStyle w:val="ListParagraph"/>
        <w:numPr>
          <w:ilvl w:val="0"/>
          <w:numId w:val="5"/>
        </w:numPr>
        <w:jc w:val="both"/>
      </w:pPr>
      <w:r>
        <w:t xml:space="preserve">Tasas. </w:t>
      </w:r>
      <w:r w:rsidR="00E94E0D">
        <w:t>Tasa por Servicios de Inspección de Seguridad e Higien</w:t>
      </w:r>
      <w:r w:rsidR="004522C4">
        <w:t>e. Determinación de oficio. Prescripción. Anulación de la determinación de oficio y sentenc</w:t>
      </w:r>
      <w:r w:rsidR="00C8312B">
        <w:t>ia. “Freudenberg S.A. c/ Municipalidad de General San Martín s/ pretensión anulatoria</w:t>
      </w:r>
      <w:r w:rsidR="009407D8">
        <w:t xml:space="preserve">”, </w:t>
      </w:r>
      <w:r w:rsidR="00C731E8">
        <w:t>Cámara de Apelaciones en lo Contencioso Administrativo con asiento en San Martín, Provincia de Buenos Aires, sentencia del 19 de marzo de 2026.</w:t>
      </w:r>
      <w:r w:rsidR="007903A5">
        <w:t xml:space="preserve"> Expone: Aldana Schiavi.</w:t>
      </w:r>
    </w:p>
    <w:p w14:paraId="684109EB" w14:textId="77777777" w:rsidR="00EE1B40" w:rsidRDefault="00EE1B40" w:rsidP="00EE1B40">
      <w:pPr>
        <w:jc w:val="both"/>
      </w:pPr>
    </w:p>
    <w:p w14:paraId="1DE55FF2" w14:textId="6EFD6817" w:rsidR="000122B2" w:rsidRDefault="008D32D1" w:rsidP="00BF3DF4">
      <w:pPr>
        <w:pStyle w:val="ListParagraph"/>
        <w:numPr>
          <w:ilvl w:val="0"/>
          <w:numId w:val="5"/>
        </w:numPr>
        <w:jc w:val="both"/>
      </w:pPr>
      <w:r>
        <w:t xml:space="preserve">Tasas. </w:t>
      </w:r>
      <w:r w:rsidR="00EE1B40">
        <w:t xml:space="preserve">Tasa por Mantención </w:t>
      </w:r>
      <w:r w:rsidR="00FF40BA">
        <w:t>de Acceso. Medida cautelar: se otorga. “Corredores Viales S.A. c. Municipalida</w:t>
      </w:r>
      <w:r w:rsidR="00855DF6">
        <w:t>d</w:t>
      </w:r>
      <w:r w:rsidR="00FF40BA">
        <w:t xml:space="preserve"> de Mercedes</w:t>
      </w:r>
      <w:r w:rsidR="00855DF6">
        <w:t>”, Juzgado Federal de Mercedes, sentencia del 3 de febrero de 2026.</w:t>
      </w:r>
    </w:p>
    <w:p w14:paraId="7FE8291C" w14:textId="77777777" w:rsidR="008D32D1" w:rsidRDefault="008D32D1" w:rsidP="008D32D1">
      <w:pPr>
        <w:pStyle w:val="ListParagraph"/>
      </w:pPr>
    </w:p>
    <w:p w14:paraId="04F32BE8" w14:textId="0B807A2C" w:rsidR="008D32D1" w:rsidRDefault="008D32D1" w:rsidP="00BF3DF4">
      <w:pPr>
        <w:pStyle w:val="ListParagraph"/>
        <w:numPr>
          <w:ilvl w:val="0"/>
          <w:numId w:val="5"/>
        </w:numPr>
        <w:jc w:val="both"/>
      </w:pPr>
      <w:r>
        <w:t>Tasas.</w:t>
      </w:r>
      <w:r w:rsidR="00A61BF7">
        <w:t xml:space="preserve"> </w:t>
      </w:r>
      <w:r>
        <w:t>Derecho de Inspección</w:t>
      </w:r>
      <w:r w:rsidR="00C26FF9">
        <w:t>, Registro y Servicios de Contralor. M</w:t>
      </w:r>
      <w:r w:rsidR="00A61BF7">
        <w:t>edida caut</w:t>
      </w:r>
      <w:r w:rsidR="00EE7DCB">
        <w:t>e</w:t>
      </w:r>
      <w:r w:rsidR="00A61BF7">
        <w:t>l</w:t>
      </w:r>
      <w:r w:rsidR="00882DDB">
        <w:t>ar</w:t>
      </w:r>
      <w:r w:rsidR="00A61BF7">
        <w:t xml:space="preserve"> Verosimilitud del derecho fundada en la falta de acreditación de la prestación efectiva del servicio. “</w:t>
      </w:r>
      <w:proofErr w:type="spellStart"/>
      <w:r w:rsidR="00A61BF7">
        <w:t>Gigared</w:t>
      </w:r>
      <w:proofErr w:type="spellEnd"/>
      <w:r w:rsidR="00A61BF7">
        <w:t xml:space="preserve"> S.A. c</w:t>
      </w:r>
      <w:r w:rsidR="009A6BC8">
        <w:t>/ Municipalidad de Posadas”, Cámara Federal de Posadas,</w:t>
      </w:r>
      <w:r w:rsidR="00AB1545">
        <w:t xml:space="preserve"> sentencia del 17 de marzo de 2026.</w:t>
      </w:r>
    </w:p>
    <w:p w14:paraId="2D4A8F20" w14:textId="77777777" w:rsidR="0061504E" w:rsidRDefault="0061504E" w:rsidP="0061504E">
      <w:pPr>
        <w:pStyle w:val="ListParagraph"/>
      </w:pPr>
    </w:p>
    <w:p w14:paraId="7FF67745" w14:textId="35EE753B" w:rsidR="0061504E" w:rsidRDefault="00932C07" w:rsidP="00BF3DF4">
      <w:pPr>
        <w:pStyle w:val="ListParagraph"/>
        <w:numPr>
          <w:ilvl w:val="0"/>
          <w:numId w:val="5"/>
        </w:numPr>
        <w:jc w:val="both"/>
      </w:pPr>
      <w:r>
        <w:lastRenderedPageBreak/>
        <w:t>Tasas. Inconstitucio</w:t>
      </w:r>
      <w:r w:rsidR="00606B9A">
        <w:t>nalidad del tributo por vicio en el procedimiento. Asamblea de grandes contribuyente</w:t>
      </w:r>
      <w:r w:rsidR="006A1C34">
        <w:t>s</w:t>
      </w:r>
      <w:r w:rsidR="00606B9A">
        <w:t xml:space="preserve"> como condición </w:t>
      </w:r>
      <w:r w:rsidR="00F76F7D">
        <w:t xml:space="preserve">esencial para la formación de la norma. </w:t>
      </w:r>
      <w:r w:rsidR="00EE7DCB">
        <w:t>“</w:t>
      </w:r>
      <w:proofErr w:type="spellStart"/>
      <w:r w:rsidR="00F76F7D">
        <w:t>Miroruelquica</w:t>
      </w:r>
      <w:proofErr w:type="spellEnd"/>
      <w:r w:rsidR="00F76F7D">
        <w:t xml:space="preserve"> S.A. </w:t>
      </w:r>
      <w:r w:rsidR="00E37DE1">
        <w:t xml:space="preserve">c/ Municipalidad de Azul s/ pretensión </w:t>
      </w:r>
      <w:proofErr w:type="spellStart"/>
      <w:r w:rsidR="00E37DE1">
        <w:t>anualtoria</w:t>
      </w:r>
      <w:proofErr w:type="spellEnd"/>
      <w:r w:rsidR="00E37DE1">
        <w:t xml:space="preserve"> – otros juicios”, </w:t>
      </w:r>
      <w:r w:rsidR="00C323A7">
        <w:t>Cámara Contencioso Administrativo con asiento en Mar del Plata, Provincia de Buenos Aires, sentencia del 12 de febrero de 2026.</w:t>
      </w:r>
    </w:p>
    <w:p w14:paraId="3BB60256" w14:textId="411B19CF" w:rsidR="00DF3B07" w:rsidRPr="00DE309E" w:rsidRDefault="00DF3B07" w:rsidP="00AB1545">
      <w:pPr>
        <w:pStyle w:val="ListParagraph"/>
        <w:jc w:val="both"/>
        <w:rPr>
          <w:lang w:val="pt-PT"/>
        </w:rPr>
      </w:pPr>
    </w:p>
    <w:p w14:paraId="05C828E2" w14:textId="42021B66" w:rsidR="009F70FE" w:rsidRDefault="009F70FE" w:rsidP="00BF3DF4">
      <w:pPr>
        <w:pStyle w:val="ListParagraph"/>
        <w:numPr>
          <w:ilvl w:val="0"/>
          <w:numId w:val="5"/>
        </w:numPr>
        <w:jc w:val="both"/>
      </w:pPr>
      <w:r>
        <w:t>Tasas. Tasa por Servicios de I</w:t>
      </w:r>
      <w:r w:rsidR="005A1F99">
        <w:t xml:space="preserve">nspección de Seguridad e Higiene. Falta de prestación del servicio. “New Revlon Argentina S.A. c/ Municipalidad de San Isidro s/ pretensión anulatoria”, </w:t>
      </w:r>
      <w:r w:rsidR="00CF1783">
        <w:t>Cámara Contenscioso Administrativo con asiento en San Martín, Provincia de Buenos Aires, sentencia del 30 de marzo de 2026.</w:t>
      </w:r>
    </w:p>
    <w:p w14:paraId="6C69B486" w14:textId="77777777" w:rsidR="00D35F84" w:rsidRDefault="00D35F84" w:rsidP="00D35F84">
      <w:pPr>
        <w:pStyle w:val="ListParagraph"/>
      </w:pPr>
    </w:p>
    <w:p w14:paraId="4D0FA640" w14:textId="06AE009C" w:rsidR="00D35F84" w:rsidRDefault="00D35F84" w:rsidP="00BF3DF4">
      <w:pPr>
        <w:pStyle w:val="ListParagraph"/>
        <w:numPr>
          <w:ilvl w:val="0"/>
          <w:numId w:val="5"/>
        </w:numPr>
        <w:jc w:val="both"/>
      </w:pPr>
      <w:r>
        <w:t>Impuesto sobre los Ingresos Brutos</w:t>
      </w:r>
      <w:r w:rsidR="008773B6">
        <w:t>. Juicio de apremio. Prescripción. “Fisco de la Provincia de Buenos Aires c</w:t>
      </w:r>
      <w:r w:rsidR="00253823">
        <w:t xml:space="preserve">/ </w:t>
      </w:r>
      <w:r w:rsidR="00F11F64">
        <w:t>Destilería</w:t>
      </w:r>
      <w:r w:rsidR="00A37F40">
        <w:t xml:space="preserve"> </w:t>
      </w:r>
      <w:r w:rsidR="00F0634A">
        <w:t>Argentina de Petróleo S.A.”, Juzgado Contencioso Administrativo</w:t>
      </w:r>
      <w:r w:rsidR="00F11F64">
        <w:t xml:space="preserve"> N</w:t>
      </w:r>
      <w:r w:rsidR="001D1049">
        <w:t>° 1°, Lanús, Provincia de Buenos Aires, sentencia del 6 de febrero de 2026.</w:t>
      </w:r>
    </w:p>
    <w:p w14:paraId="2A8E2F21" w14:textId="1B100401" w:rsidR="00DA71DC" w:rsidRPr="00DA71DC" w:rsidRDefault="00DF3B07" w:rsidP="001D1049">
      <w:pPr>
        <w:pStyle w:val="ListParagraph"/>
        <w:jc w:val="both"/>
        <w:rPr>
          <w:rFonts w:eastAsia="Calibri"/>
          <w:lang w:val="es-AR"/>
        </w:rPr>
      </w:pPr>
      <w:r>
        <w:t xml:space="preserve"> </w:t>
      </w:r>
      <w:r w:rsidR="00DA71DC">
        <w:t xml:space="preserve"> </w:t>
      </w:r>
    </w:p>
    <w:p w14:paraId="3FB3B10D" w14:textId="30B8547E" w:rsidR="00225000" w:rsidRPr="00DA71DC" w:rsidRDefault="00866595" w:rsidP="00BF3DF4">
      <w:pPr>
        <w:pStyle w:val="ListParagraph"/>
        <w:numPr>
          <w:ilvl w:val="0"/>
          <w:numId w:val="5"/>
        </w:numPr>
        <w:jc w:val="both"/>
        <w:rPr>
          <w:rFonts w:eastAsia="Calibri"/>
          <w:lang w:val="es-AR"/>
        </w:rPr>
      </w:pPr>
      <w:r w:rsidRPr="006537C4">
        <w:t>Ingresos Brutos.</w:t>
      </w:r>
      <w:r w:rsidR="00F573A2">
        <w:t xml:space="preserve"> Agente de percepción</w:t>
      </w:r>
      <w:r w:rsidR="0056665E">
        <w:t>. Multa por defraudación al haber mantenido las sumas percibidas más allá de su vencimiento</w:t>
      </w:r>
      <w:r w:rsidR="00AE2979">
        <w:t>.</w:t>
      </w:r>
      <w:r w:rsidR="0056665E">
        <w:t xml:space="preserve"> Prescripci</w:t>
      </w:r>
      <w:r w:rsidR="0077518F">
        <w:t>ón</w:t>
      </w:r>
      <w:r w:rsidR="000F1C3C">
        <w:t>: aplicación del pre</w:t>
      </w:r>
      <w:r w:rsidR="004A53FE">
        <w:t>cede</w:t>
      </w:r>
      <w:r w:rsidR="000F1C3C">
        <w:t xml:space="preserve">nte “Alpha </w:t>
      </w:r>
      <w:proofErr w:type="spellStart"/>
      <w:r w:rsidR="000F1C3C">
        <w:t>Shipping</w:t>
      </w:r>
      <w:proofErr w:type="spellEnd"/>
      <w:r w:rsidR="000F1C3C">
        <w:t>”. Por mayoría se resuelve que</w:t>
      </w:r>
      <w:r w:rsidR="00AD26E2">
        <w:t xml:space="preserve">, </w:t>
      </w:r>
      <w:r w:rsidR="00C92D63">
        <w:t xml:space="preserve">siendo un período posterior a la </w:t>
      </w:r>
      <w:r w:rsidR="008F7BD8">
        <w:t>entrada en vigor</w:t>
      </w:r>
      <w:r w:rsidR="00C92D63">
        <w:t xml:space="preserve"> del </w:t>
      </w:r>
      <w:proofErr w:type="spellStart"/>
      <w:r w:rsidR="00C92D63">
        <w:t>CPCyN</w:t>
      </w:r>
      <w:proofErr w:type="spellEnd"/>
      <w:r w:rsidR="00C92D63">
        <w:t xml:space="preserve"> (arts. 2532 y 2560)</w:t>
      </w:r>
      <w:r w:rsidR="00AD26E2">
        <w:t>,</w:t>
      </w:r>
      <w:r w:rsidR="00FA0703">
        <w:t xml:space="preserve"> corresponde atenerse al artículo 54 del CTP. </w:t>
      </w:r>
      <w:r w:rsidR="00AD26E2">
        <w:t xml:space="preserve">Incompetencia </w:t>
      </w:r>
      <w:r w:rsidR="00D15240">
        <w:t xml:space="preserve">del TFA para dictar su </w:t>
      </w:r>
      <w:r w:rsidR="008F7BD8">
        <w:t>inconstitucionalidad</w:t>
      </w:r>
      <w:r w:rsidR="00D15240">
        <w:t xml:space="preserve"> Se confirma el acto </w:t>
      </w:r>
      <w:r w:rsidR="008F7BD8">
        <w:t>apelado</w:t>
      </w:r>
      <w:r w:rsidR="00D15240">
        <w:t>.</w:t>
      </w:r>
      <w:r w:rsidRPr="006537C4">
        <w:t xml:space="preserve"> </w:t>
      </w:r>
      <w:r w:rsidR="00984895">
        <w:t>“</w:t>
      </w:r>
      <w:proofErr w:type="spellStart"/>
      <w:r w:rsidR="00984895">
        <w:t>Gasnor</w:t>
      </w:r>
      <w:proofErr w:type="spellEnd"/>
      <w:r w:rsidR="00984895">
        <w:t xml:space="preserve"> S.A. – Sentencia N° 154/2025”, Tribunal Fiscal de Apelación de la Provin</w:t>
      </w:r>
      <w:r w:rsidR="006E0FD5">
        <w:t>cia de Tucumán, sentencia del 11 de septiembre de 2025.</w:t>
      </w:r>
    </w:p>
    <w:p w14:paraId="607624FF" w14:textId="77777777" w:rsidR="00225000" w:rsidRDefault="00225000" w:rsidP="00225000">
      <w:pPr>
        <w:shd w:val="clear" w:color="auto" w:fill="FFFFFF"/>
        <w:ind w:left="1070"/>
        <w:jc w:val="both"/>
      </w:pPr>
    </w:p>
    <w:p w14:paraId="2521200D" w14:textId="77777777" w:rsidR="000362D4" w:rsidRDefault="00A65465" w:rsidP="000362D4">
      <w:pPr>
        <w:pStyle w:val="ListParagraph"/>
        <w:numPr>
          <w:ilvl w:val="0"/>
          <w:numId w:val="5"/>
        </w:numPr>
        <w:shd w:val="clear" w:color="auto" w:fill="FFFFFF"/>
        <w:jc w:val="both"/>
      </w:pPr>
      <w:r>
        <w:t>Ingresos Brutos. Agente de retención.</w:t>
      </w:r>
      <w:r w:rsidR="00401D89">
        <w:t xml:space="preserve"> Multa por defraudación al haber mantenido las sumas </w:t>
      </w:r>
      <w:r w:rsidR="00FF5258">
        <w:t>retenida</w:t>
      </w:r>
      <w:r w:rsidR="00401D89">
        <w:t>s más allá de su vencimiento</w:t>
      </w:r>
      <w:r w:rsidR="00994A4C">
        <w:t>.</w:t>
      </w:r>
      <w:r w:rsidR="00401D89">
        <w:t xml:space="preserve"> Prescripción: aplicación del pre</w:t>
      </w:r>
      <w:r w:rsidR="00994A4C">
        <w:t>ced</w:t>
      </w:r>
      <w:r w:rsidR="00401D89">
        <w:t xml:space="preserve">ente “Alpha </w:t>
      </w:r>
      <w:proofErr w:type="spellStart"/>
      <w:r w:rsidR="00401D89">
        <w:t>Shipping</w:t>
      </w:r>
      <w:proofErr w:type="spellEnd"/>
      <w:r w:rsidR="00401D89">
        <w:t>”</w:t>
      </w:r>
      <w:r w:rsidR="00CA32B9">
        <w:t xml:space="preserve">. Principio de </w:t>
      </w:r>
      <w:r w:rsidR="004A7E52">
        <w:t>reparación total del daño:</w:t>
      </w:r>
      <w:r w:rsidR="00FF5258">
        <w:t xml:space="preserve"> por mayoría no se recepta</w:t>
      </w:r>
      <w:r w:rsidR="002C385B">
        <w:t>n</w:t>
      </w:r>
      <w:r w:rsidR="00FF5258">
        <w:t xml:space="preserve"> </w:t>
      </w:r>
      <w:r w:rsidR="00EF2851">
        <w:t>ambos</w:t>
      </w:r>
      <w:r w:rsidR="00FF5258">
        <w:t xml:space="preserve"> agravio</w:t>
      </w:r>
      <w:r w:rsidR="002C385B">
        <w:t>s</w:t>
      </w:r>
      <w:r w:rsidR="00FF5258">
        <w:t xml:space="preserve">. Aplicación del artículo 54 del CTP. </w:t>
      </w:r>
      <w:r w:rsidR="004A7E52">
        <w:t xml:space="preserve"> Norma posterior más benigna: se reencuadra la figura y se reduce el monto de la sanción.</w:t>
      </w:r>
      <w:r>
        <w:t xml:space="preserve"> </w:t>
      </w:r>
      <w:r w:rsidR="006C20E6">
        <w:t>“</w:t>
      </w:r>
      <w:proofErr w:type="spellStart"/>
      <w:r w:rsidR="006C20E6">
        <w:t>Frávega</w:t>
      </w:r>
      <w:proofErr w:type="spellEnd"/>
      <w:r w:rsidR="006C20E6">
        <w:t xml:space="preserve"> S.A.C.I.E.I. – Sentencia N° 167/2025”, Tribunal Fiscal de Apelación de la Provincia de Tucumán, sentencia del 13 de octubre de 2025.</w:t>
      </w:r>
    </w:p>
    <w:p w14:paraId="02D769B8" w14:textId="77777777" w:rsidR="000362D4" w:rsidRDefault="000362D4" w:rsidP="000362D4">
      <w:pPr>
        <w:pStyle w:val="ListParagraph"/>
      </w:pPr>
    </w:p>
    <w:p w14:paraId="668F7DE2" w14:textId="756772F2" w:rsidR="00225000" w:rsidRDefault="008C32CA" w:rsidP="000362D4">
      <w:pPr>
        <w:pStyle w:val="ListParagraph"/>
        <w:numPr>
          <w:ilvl w:val="0"/>
          <w:numId w:val="5"/>
        </w:numPr>
        <w:shd w:val="clear" w:color="auto" w:fill="FFFFFF"/>
        <w:jc w:val="both"/>
      </w:pPr>
      <w:r>
        <w:t xml:space="preserve">Ingresos Brutos. </w:t>
      </w:r>
      <w:r w:rsidR="003E7360">
        <w:t>Fideicomiso inmobiliario: encuadre de la acti</w:t>
      </w:r>
      <w:r w:rsidR="00B42056">
        <w:t>vidad.</w:t>
      </w:r>
      <w:r w:rsidR="00B654F8">
        <w:t xml:space="preserve"> El fideicomiso sostuvo que era empresa constructora en tanto que para el fisco</w:t>
      </w:r>
      <w:r w:rsidR="00287B6D">
        <w:t xml:space="preserve"> se trató de “venta de lotes”</w:t>
      </w:r>
      <w:r w:rsidR="00B654F8">
        <w:t xml:space="preserve">, sobre todo con sustento en </w:t>
      </w:r>
      <w:r w:rsidR="00FA3312">
        <w:t>el contrato</w:t>
      </w:r>
      <w:r w:rsidR="0006266F">
        <w:t>,</w:t>
      </w:r>
      <w:r w:rsidR="00FA3312">
        <w:t xml:space="preserve"> rol y responsabilidades asignadas al fiduciante</w:t>
      </w:r>
      <w:r w:rsidR="00B80018">
        <w:t xml:space="preserve">. Se confirma la tesis fiscal. Sanción: no aplicación del fallo “Alpha </w:t>
      </w:r>
      <w:proofErr w:type="spellStart"/>
      <w:r w:rsidR="00B80018">
        <w:t>Shipping</w:t>
      </w:r>
      <w:proofErr w:type="spellEnd"/>
      <w:r w:rsidR="00B80018">
        <w:t xml:space="preserve">”. </w:t>
      </w:r>
      <w:r w:rsidR="00DE3BC1">
        <w:t>“</w:t>
      </w:r>
      <w:r w:rsidR="006015FB">
        <w:t xml:space="preserve">Fideicomiso Viento Sur - Sentencia N° 196/2025”. </w:t>
      </w:r>
      <w:r w:rsidR="006C02ED">
        <w:t xml:space="preserve">Tribunal Fiscal de Apelación de la Provincia de Tucumán, sentencia del </w:t>
      </w:r>
      <w:r w:rsidR="00926DDC">
        <w:t>27 de noviembre</w:t>
      </w:r>
      <w:r w:rsidR="006C02ED">
        <w:t xml:space="preserve"> de 2025.</w:t>
      </w:r>
    </w:p>
    <w:p w14:paraId="76DCCB06" w14:textId="77777777" w:rsidR="00703E6E" w:rsidRDefault="00703E6E" w:rsidP="00703E6E">
      <w:pPr>
        <w:shd w:val="clear" w:color="auto" w:fill="FFFFFF"/>
        <w:ind w:left="1070"/>
        <w:jc w:val="both"/>
      </w:pPr>
    </w:p>
    <w:p w14:paraId="4ECD7527" w14:textId="77777777" w:rsidR="00D4760A" w:rsidRPr="006537C4" w:rsidRDefault="00D4760A" w:rsidP="00703E6E">
      <w:pPr>
        <w:shd w:val="clear" w:color="auto" w:fill="FFFFFF"/>
        <w:ind w:left="1070"/>
        <w:jc w:val="both"/>
      </w:pPr>
    </w:p>
    <w:p w14:paraId="20450CF4" w14:textId="77777777" w:rsidR="00866595" w:rsidRPr="006537C4" w:rsidRDefault="00866595" w:rsidP="00866595">
      <w:pPr>
        <w:pStyle w:val="ListParagraph"/>
        <w:tabs>
          <w:tab w:val="left" w:pos="1150"/>
        </w:tabs>
        <w:ind w:left="0"/>
        <w:jc w:val="both"/>
        <w:rPr>
          <w:rFonts w:ascii="Cambria" w:eastAsia="Arial" w:hAnsi="Cambria"/>
          <w:smallCaps/>
          <w:spacing w:val="-3"/>
          <w:u w:val="single"/>
        </w:rPr>
      </w:pPr>
      <w:r w:rsidRPr="006537C4">
        <w:rPr>
          <w:rFonts w:ascii="Cambria" w:eastAsia="Arial" w:hAnsi="Cambria"/>
          <w:smallCaps/>
          <w:spacing w:val="-3"/>
          <w:u w:val="single"/>
        </w:rPr>
        <w:t>Comisión Arbitral y Comisión Plenaria.</w:t>
      </w:r>
    </w:p>
    <w:p w14:paraId="140E9D0C" w14:textId="77777777" w:rsidR="00866595" w:rsidRPr="006537C4" w:rsidRDefault="00866595" w:rsidP="00866595">
      <w:pPr>
        <w:pStyle w:val="ListParagraph"/>
        <w:rPr>
          <w:rFonts w:ascii="Cambria" w:eastAsia="Calibri" w:hAnsi="Cambria"/>
        </w:rPr>
      </w:pPr>
    </w:p>
    <w:p w14:paraId="44A174E9" w14:textId="20BAC7B6" w:rsidR="00866595" w:rsidRPr="00954631" w:rsidRDefault="00866595" w:rsidP="000362D4">
      <w:pPr>
        <w:pStyle w:val="ListParagraph"/>
        <w:numPr>
          <w:ilvl w:val="0"/>
          <w:numId w:val="5"/>
        </w:numPr>
        <w:tabs>
          <w:tab w:val="left" w:pos="1150"/>
        </w:tabs>
        <w:ind w:left="1070"/>
        <w:jc w:val="both"/>
        <w:rPr>
          <w:rFonts w:eastAsia="Calibri"/>
        </w:rPr>
      </w:pPr>
      <w:r w:rsidRPr="00954631">
        <w:t xml:space="preserve">Resolución </w:t>
      </w:r>
      <w:r w:rsidR="00EE4332" w:rsidRPr="00954631">
        <w:t xml:space="preserve">General </w:t>
      </w:r>
      <w:r w:rsidRPr="00954631">
        <w:t xml:space="preserve">(CA) </w:t>
      </w:r>
      <w:r w:rsidRPr="00954631">
        <w:rPr>
          <w:lang w:val="es-ES"/>
        </w:rPr>
        <w:t xml:space="preserve">N° </w:t>
      </w:r>
      <w:r w:rsidR="00C23A79" w:rsidRPr="00954631">
        <w:rPr>
          <w:lang w:val="es-ES"/>
        </w:rPr>
        <w:t>3</w:t>
      </w:r>
      <w:r w:rsidRPr="00954631">
        <w:rPr>
          <w:lang w:val="es-ES"/>
        </w:rPr>
        <w:t>/202</w:t>
      </w:r>
      <w:r w:rsidR="00C23A79" w:rsidRPr="00954631">
        <w:rPr>
          <w:lang w:val="es-ES"/>
        </w:rPr>
        <w:t>6</w:t>
      </w:r>
      <w:r w:rsidRPr="00954631">
        <w:rPr>
          <w:lang w:val="es-ES"/>
        </w:rPr>
        <w:t>.</w:t>
      </w:r>
      <w:r w:rsidR="00C23A79" w:rsidRPr="00954631">
        <w:rPr>
          <w:lang w:val="es-ES"/>
        </w:rPr>
        <w:t xml:space="preserve"> Aprueba el </w:t>
      </w:r>
      <w:r w:rsidR="004E63EB" w:rsidRPr="00954631">
        <w:rPr>
          <w:lang w:val="es-ES"/>
        </w:rPr>
        <w:t>“</w:t>
      </w:r>
      <w:r w:rsidR="00C23A79" w:rsidRPr="00954631">
        <w:rPr>
          <w:lang w:val="es-ES"/>
        </w:rPr>
        <w:t>Ordenamiento Jurídico de Normas de la Comisión Arbitral</w:t>
      </w:r>
      <w:r w:rsidR="004E63EB" w:rsidRPr="00954631">
        <w:rPr>
          <w:lang w:val="es-ES"/>
        </w:rPr>
        <w:t>”</w:t>
      </w:r>
      <w:r w:rsidR="00C23A79" w:rsidRPr="00954631">
        <w:rPr>
          <w:lang w:val="es-ES"/>
        </w:rPr>
        <w:t>. Deroga la R.G. (CA) N° 1/20</w:t>
      </w:r>
      <w:r w:rsidR="00ED70A8" w:rsidRPr="00954631">
        <w:rPr>
          <w:lang w:val="es-ES"/>
        </w:rPr>
        <w:t>05</w:t>
      </w:r>
      <w:r w:rsidR="00C23A79" w:rsidRPr="00954631">
        <w:rPr>
          <w:lang w:val="es-ES"/>
        </w:rPr>
        <w:t>.</w:t>
      </w:r>
    </w:p>
    <w:p w14:paraId="2BC72E9C" w14:textId="77777777" w:rsidR="00102D08" w:rsidRPr="00954631" w:rsidRDefault="00102D08" w:rsidP="00102D08">
      <w:pPr>
        <w:pStyle w:val="ListParagraph"/>
        <w:tabs>
          <w:tab w:val="left" w:pos="1150"/>
        </w:tabs>
        <w:ind w:left="1070"/>
        <w:jc w:val="both"/>
        <w:rPr>
          <w:rFonts w:eastAsia="Calibri"/>
        </w:rPr>
      </w:pPr>
    </w:p>
    <w:p w14:paraId="4B8C8BFF" w14:textId="42A3B114" w:rsidR="00877AE9" w:rsidRPr="00954631" w:rsidRDefault="00877AE9" w:rsidP="000362D4">
      <w:pPr>
        <w:pStyle w:val="ListParagraph"/>
        <w:numPr>
          <w:ilvl w:val="0"/>
          <w:numId w:val="5"/>
        </w:numPr>
        <w:tabs>
          <w:tab w:val="left" w:pos="1150"/>
        </w:tabs>
        <w:ind w:left="1070"/>
        <w:jc w:val="both"/>
        <w:rPr>
          <w:rFonts w:eastAsia="Calibri"/>
        </w:rPr>
      </w:pPr>
      <w:r w:rsidRPr="00954631">
        <w:rPr>
          <w:lang w:val="es-ES"/>
        </w:rPr>
        <w:t>Resolución (CA) N° 34/2025</w:t>
      </w:r>
      <w:r w:rsidR="00FA0215" w:rsidRPr="00954631">
        <w:rPr>
          <w:lang w:val="es-ES"/>
        </w:rPr>
        <w:t xml:space="preserve"> “</w:t>
      </w:r>
      <w:proofErr w:type="spellStart"/>
      <w:r w:rsidR="003E193E" w:rsidRPr="00954631">
        <w:rPr>
          <w:lang w:val="es-ES"/>
        </w:rPr>
        <w:t>Delpero</w:t>
      </w:r>
      <w:proofErr w:type="spellEnd"/>
      <w:r w:rsidR="003E193E" w:rsidRPr="00954631">
        <w:rPr>
          <w:lang w:val="es-ES"/>
        </w:rPr>
        <w:t xml:space="preserve"> S.R.L. c</w:t>
      </w:r>
      <w:r w:rsidR="008D6943" w:rsidRPr="00954631">
        <w:rPr>
          <w:lang w:val="es-ES"/>
        </w:rPr>
        <w:t>/ p</w:t>
      </w:r>
      <w:r w:rsidR="003E193E" w:rsidRPr="00954631">
        <w:rPr>
          <w:lang w:val="es-ES"/>
        </w:rPr>
        <w:t>rovincia de Tucumán</w:t>
      </w:r>
      <w:r w:rsidR="00EF17DB" w:rsidRPr="00954631">
        <w:rPr>
          <w:lang w:val="es-ES"/>
        </w:rPr>
        <w:t>”.</w:t>
      </w:r>
      <w:r w:rsidR="003E193E" w:rsidRPr="00954631">
        <w:rPr>
          <w:lang w:val="es-ES"/>
        </w:rPr>
        <w:t xml:space="preserve"> Procedimiento. Acción ante la CA: oportunidad y plazo.</w:t>
      </w:r>
      <w:r w:rsidR="00CC2B1B" w:rsidRPr="00954631">
        <w:rPr>
          <w:lang w:val="es-ES"/>
        </w:rPr>
        <w:t xml:space="preserve"> </w:t>
      </w:r>
      <w:r w:rsidR="00A54233" w:rsidRPr="00954631">
        <w:rPr>
          <w:lang w:val="es-ES"/>
        </w:rPr>
        <w:t>Entre otras cuestiones, r</w:t>
      </w:r>
      <w:r w:rsidR="00CC2B1B" w:rsidRPr="00954631">
        <w:rPr>
          <w:lang w:val="es-ES"/>
        </w:rPr>
        <w:t xml:space="preserve">eitera que las “actas de deuda” emitidas por el Fisco de la </w:t>
      </w:r>
      <w:r w:rsidR="00CC2B1B" w:rsidRPr="00954631">
        <w:rPr>
          <w:lang w:val="es-ES"/>
        </w:rPr>
        <w:lastRenderedPageBreak/>
        <w:t xml:space="preserve">Provincia constituyen “determinaciones de oficio” y por ende </w:t>
      </w:r>
      <w:r w:rsidR="00102D08" w:rsidRPr="00954631">
        <w:rPr>
          <w:lang w:val="es-ES"/>
        </w:rPr>
        <w:t xml:space="preserve">resultan susceptibles de ser cuestionadas ante la CA en el mismo plazo que el ordenamiento local prevé para ser </w:t>
      </w:r>
      <w:r w:rsidR="00A65263" w:rsidRPr="00954631">
        <w:rPr>
          <w:lang w:val="es-ES"/>
        </w:rPr>
        <w:t>recurridas</w:t>
      </w:r>
      <w:r w:rsidR="00102D08" w:rsidRPr="00954631">
        <w:rPr>
          <w:lang w:val="es-ES"/>
        </w:rPr>
        <w:t>.</w:t>
      </w:r>
    </w:p>
    <w:p w14:paraId="57C13954" w14:textId="77777777" w:rsidR="00A65263" w:rsidRPr="0025019C" w:rsidRDefault="00A65263" w:rsidP="00A65263">
      <w:pPr>
        <w:pStyle w:val="ListParagraph"/>
        <w:rPr>
          <w:rFonts w:eastAsia="Calibri"/>
        </w:rPr>
      </w:pPr>
    </w:p>
    <w:p w14:paraId="6E08841D" w14:textId="71A9B89E" w:rsidR="00A65263" w:rsidRPr="0025019C" w:rsidRDefault="00A54233" w:rsidP="000362D4">
      <w:pPr>
        <w:pStyle w:val="ListParagraph"/>
        <w:numPr>
          <w:ilvl w:val="0"/>
          <w:numId w:val="5"/>
        </w:numPr>
        <w:tabs>
          <w:tab w:val="left" w:pos="1150"/>
        </w:tabs>
        <w:ind w:left="1070"/>
        <w:jc w:val="both"/>
        <w:rPr>
          <w:rFonts w:eastAsia="Calibri"/>
        </w:rPr>
      </w:pPr>
      <w:r w:rsidRPr="0025019C">
        <w:rPr>
          <w:lang w:val="es-ES"/>
        </w:rPr>
        <w:t>Resolución (CA) N° 3</w:t>
      </w:r>
      <w:r w:rsidR="00B91223" w:rsidRPr="0025019C">
        <w:rPr>
          <w:lang w:val="es-ES"/>
        </w:rPr>
        <w:t>5</w:t>
      </w:r>
      <w:r w:rsidRPr="0025019C">
        <w:rPr>
          <w:lang w:val="es-ES"/>
        </w:rPr>
        <w:t>/2025 “</w:t>
      </w:r>
      <w:proofErr w:type="spellStart"/>
      <w:r w:rsidR="00207429" w:rsidRPr="0025019C">
        <w:rPr>
          <w:lang w:val="es-ES"/>
        </w:rPr>
        <w:t>Sermex</w:t>
      </w:r>
      <w:proofErr w:type="spellEnd"/>
      <w:r w:rsidR="00207429" w:rsidRPr="0025019C">
        <w:rPr>
          <w:lang w:val="es-ES"/>
        </w:rPr>
        <w:t xml:space="preserve"> S.A. c</w:t>
      </w:r>
      <w:r w:rsidR="008D6943" w:rsidRPr="0025019C">
        <w:rPr>
          <w:lang w:val="es-ES"/>
        </w:rPr>
        <w:t>/</w:t>
      </w:r>
      <w:r w:rsidR="00207429" w:rsidRPr="0025019C">
        <w:rPr>
          <w:lang w:val="es-ES"/>
        </w:rPr>
        <w:t xml:space="preserve"> municipalidad de La Matanza</w:t>
      </w:r>
      <w:r w:rsidR="008D6943" w:rsidRPr="0025019C">
        <w:rPr>
          <w:lang w:val="es-ES"/>
        </w:rPr>
        <w:t>,</w:t>
      </w:r>
      <w:r w:rsidR="001B356A" w:rsidRPr="0025019C">
        <w:rPr>
          <w:lang w:val="es-ES"/>
        </w:rPr>
        <w:t xml:space="preserve"> </w:t>
      </w:r>
      <w:r w:rsidR="008D6943" w:rsidRPr="0025019C">
        <w:rPr>
          <w:lang w:val="es-ES"/>
        </w:rPr>
        <w:t>p</w:t>
      </w:r>
      <w:r w:rsidR="001B356A" w:rsidRPr="0025019C">
        <w:rPr>
          <w:lang w:val="es-ES"/>
        </w:rPr>
        <w:t>rovincia de Buenos Aires”.</w:t>
      </w:r>
      <w:r w:rsidR="00D301DF" w:rsidRPr="0025019C">
        <w:rPr>
          <w:lang w:val="es-ES"/>
        </w:rPr>
        <w:t xml:space="preserve"> Empresa dedicada a la prestación</w:t>
      </w:r>
      <w:r w:rsidR="008677C5" w:rsidRPr="0025019C">
        <w:rPr>
          <w:lang w:val="es-ES"/>
        </w:rPr>
        <w:t xml:space="preserve"> </w:t>
      </w:r>
      <w:r w:rsidR="00D301DF" w:rsidRPr="0025019C">
        <w:rPr>
          <w:lang w:val="es-ES"/>
        </w:rPr>
        <w:t>de servicios de salud y gerenciamiento de las prestaciones brindadas por una obra social. A</w:t>
      </w:r>
      <w:r w:rsidR="005F43F3" w:rsidRPr="0025019C">
        <w:rPr>
          <w:lang w:val="es-ES"/>
        </w:rPr>
        <w:t xml:space="preserve">plicación del tercer párrafo del artículo 35 del CM. </w:t>
      </w:r>
      <w:r w:rsidR="00E97183" w:rsidRPr="0025019C">
        <w:rPr>
          <w:lang w:val="es-ES"/>
        </w:rPr>
        <w:t>El contribuyente aduce poseer locales o establecimientos en otros municipios por lo que la Municipalidad no puede</w:t>
      </w:r>
      <w:r w:rsidR="00DA47A3" w:rsidRPr="0025019C">
        <w:rPr>
          <w:lang w:val="es-ES"/>
        </w:rPr>
        <w:t xml:space="preserve"> </w:t>
      </w:r>
      <w:r w:rsidR="009B5816" w:rsidRPr="0025019C">
        <w:rPr>
          <w:lang w:val="es-ES"/>
        </w:rPr>
        <w:t xml:space="preserve">acrecentar su base imponible incorporando ingresos atribuibles a otras jurisdicciones. </w:t>
      </w:r>
      <w:r w:rsidR="006E1EEF" w:rsidRPr="0025019C">
        <w:rPr>
          <w:lang w:val="es-ES"/>
        </w:rPr>
        <w:t>Insuficiencia probatoria</w:t>
      </w:r>
      <w:r w:rsidR="00743AE9" w:rsidRPr="0025019C">
        <w:rPr>
          <w:lang w:val="es-ES"/>
        </w:rPr>
        <w:t xml:space="preserve">. </w:t>
      </w:r>
      <w:r w:rsidR="00911E52" w:rsidRPr="0025019C">
        <w:rPr>
          <w:lang w:val="es-ES"/>
        </w:rPr>
        <w:t>Incompetencia para expedirse sobre la ausencia de prestación del servicio. Se rechaza la acción.</w:t>
      </w:r>
    </w:p>
    <w:p w14:paraId="114725A6" w14:textId="77777777" w:rsidR="002D1C18" w:rsidRPr="0025019C" w:rsidRDefault="002D1C18" w:rsidP="002D1C18">
      <w:pPr>
        <w:pStyle w:val="ListParagraph"/>
        <w:rPr>
          <w:rFonts w:eastAsia="Calibri"/>
        </w:rPr>
      </w:pPr>
    </w:p>
    <w:p w14:paraId="5BDEE6BF" w14:textId="34C2FBD9" w:rsidR="002D1C18" w:rsidRPr="0025019C" w:rsidRDefault="002D1C18" w:rsidP="000362D4">
      <w:pPr>
        <w:pStyle w:val="ListParagraph"/>
        <w:numPr>
          <w:ilvl w:val="0"/>
          <w:numId w:val="5"/>
        </w:numPr>
        <w:tabs>
          <w:tab w:val="left" w:pos="1150"/>
        </w:tabs>
        <w:ind w:left="1070"/>
        <w:jc w:val="both"/>
        <w:rPr>
          <w:rFonts w:eastAsia="Calibri"/>
        </w:rPr>
      </w:pPr>
      <w:r w:rsidRPr="0025019C">
        <w:rPr>
          <w:lang w:val="es-ES"/>
        </w:rPr>
        <w:t>Resolución (CA) N° 3</w:t>
      </w:r>
      <w:r w:rsidR="009D097C" w:rsidRPr="0025019C">
        <w:rPr>
          <w:lang w:val="es-ES"/>
        </w:rPr>
        <w:t>6</w:t>
      </w:r>
      <w:r w:rsidRPr="0025019C">
        <w:rPr>
          <w:lang w:val="es-ES"/>
        </w:rPr>
        <w:t>/2025 “</w:t>
      </w:r>
      <w:r w:rsidR="00E70CCC" w:rsidRPr="0025019C">
        <w:rPr>
          <w:lang w:val="es-ES"/>
        </w:rPr>
        <w:t xml:space="preserve">Puente Hnos. </w:t>
      </w:r>
      <w:proofErr w:type="gramStart"/>
      <w:r w:rsidR="00E70CCC" w:rsidRPr="0025019C">
        <w:rPr>
          <w:lang w:val="es-ES"/>
        </w:rPr>
        <w:t>S..A.</w:t>
      </w:r>
      <w:proofErr w:type="gramEnd"/>
      <w:r w:rsidR="00E70CCC" w:rsidRPr="0025019C">
        <w:rPr>
          <w:lang w:val="es-ES"/>
        </w:rPr>
        <w:t xml:space="preserve"> c/ provincia de Buenos Aires”. </w:t>
      </w:r>
      <w:r w:rsidR="00CD0BA6" w:rsidRPr="0025019C">
        <w:rPr>
          <w:lang w:val="es-ES"/>
        </w:rPr>
        <w:t>Régimen general art. 2° CM. Actividad de “agente de liquidación y compensación” (ALYC – “agente de bolsa”). Atribución de ingresos</w:t>
      </w:r>
      <w:r w:rsidR="008A111A" w:rsidRPr="0025019C">
        <w:rPr>
          <w:lang w:val="es-ES"/>
        </w:rPr>
        <w:t>. El contribuyente consideró que sus servicios son brindados en los mercados en los que opera y por ende atribuyó los ingresos a las respectivas jurisdicciones. Para el Fisco el servicio se brinda en el domicilio de sus clientes. La CA ratifica la postura de ARBA con cita de la R.G. (CA) N° 83/2002 (vigente en el período cuestionado).</w:t>
      </w:r>
    </w:p>
    <w:p w14:paraId="19FBC15D" w14:textId="77777777" w:rsidR="008A111A" w:rsidRPr="0025019C" w:rsidRDefault="008A111A" w:rsidP="008A111A">
      <w:pPr>
        <w:pStyle w:val="ListParagraph"/>
        <w:rPr>
          <w:rFonts w:eastAsia="Calibri"/>
        </w:rPr>
      </w:pPr>
    </w:p>
    <w:p w14:paraId="0B88CBB6" w14:textId="235E6037" w:rsidR="008A111A" w:rsidRPr="0025019C" w:rsidRDefault="003E65A3" w:rsidP="000362D4">
      <w:pPr>
        <w:pStyle w:val="ListParagraph"/>
        <w:numPr>
          <w:ilvl w:val="0"/>
          <w:numId w:val="5"/>
        </w:numPr>
        <w:tabs>
          <w:tab w:val="left" w:pos="1150"/>
        </w:tabs>
        <w:ind w:left="1070"/>
        <w:jc w:val="both"/>
        <w:rPr>
          <w:rFonts w:eastAsia="Calibri"/>
        </w:rPr>
      </w:pPr>
      <w:r w:rsidRPr="0025019C">
        <w:rPr>
          <w:lang w:val="es-ES"/>
        </w:rPr>
        <w:t xml:space="preserve">Resolución (CA) N° </w:t>
      </w:r>
      <w:r w:rsidR="003F064F" w:rsidRPr="0025019C">
        <w:rPr>
          <w:lang w:val="es-ES"/>
        </w:rPr>
        <w:t>2</w:t>
      </w:r>
      <w:r w:rsidRPr="0025019C">
        <w:rPr>
          <w:lang w:val="es-ES"/>
        </w:rPr>
        <w:t>/202</w:t>
      </w:r>
      <w:r w:rsidR="003F064F" w:rsidRPr="0025019C">
        <w:rPr>
          <w:lang w:val="es-ES"/>
        </w:rPr>
        <w:t>6</w:t>
      </w:r>
      <w:r w:rsidRPr="0025019C">
        <w:rPr>
          <w:lang w:val="es-ES"/>
        </w:rPr>
        <w:t xml:space="preserve"> “</w:t>
      </w:r>
      <w:r w:rsidR="003F064F" w:rsidRPr="0025019C">
        <w:rPr>
          <w:lang w:val="es-ES"/>
        </w:rPr>
        <w:t>AGSOF S.A. c/ provincia de Misiones”.</w:t>
      </w:r>
      <w:r w:rsidR="00320A4C" w:rsidRPr="0025019C">
        <w:rPr>
          <w:lang w:val="es-ES"/>
        </w:rPr>
        <w:t xml:space="preserve"> Régimen general art. 2° CM. </w:t>
      </w:r>
      <w:r w:rsidR="001A1630" w:rsidRPr="0025019C">
        <w:rPr>
          <w:lang w:val="es-ES"/>
        </w:rPr>
        <w:t>Sustento territorial: acreditado mediante la documentación obrante en el expediente</w:t>
      </w:r>
      <w:r w:rsidR="00142C98" w:rsidRPr="0025019C">
        <w:rPr>
          <w:lang w:val="es-ES"/>
        </w:rPr>
        <w:t>. Se confirma el ajuste del Fisco. Omisión de actuar como agente de recaudación</w:t>
      </w:r>
      <w:r w:rsidR="004728B1" w:rsidRPr="0025019C">
        <w:rPr>
          <w:lang w:val="es-ES"/>
        </w:rPr>
        <w:t xml:space="preserve"> y consiguiente</w:t>
      </w:r>
      <w:r w:rsidR="00142C98" w:rsidRPr="0025019C">
        <w:rPr>
          <w:lang w:val="es-ES"/>
        </w:rPr>
        <w:t xml:space="preserve"> </w:t>
      </w:r>
      <w:r w:rsidR="004728B1" w:rsidRPr="0025019C">
        <w:rPr>
          <w:lang w:val="es-ES"/>
        </w:rPr>
        <w:t>r</w:t>
      </w:r>
      <w:r w:rsidR="00142C98" w:rsidRPr="0025019C">
        <w:rPr>
          <w:lang w:val="es-ES"/>
        </w:rPr>
        <w:t>esponsabilidad solidaria. Cuestiones ajenas a la competencia de la CA.</w:t>
      </w:r>
    </w:p>
    <w:p w14:paraId="1C7CDF90" w14:textId="77777777" w:rsidR="00792806" w:rsidRPr="0025019C" w:rsidRDefault="00792806" w:rsidP="00792806">
      <w:pPr>
        <w:pStyle w:val="ListParagraph"/>
        <w:rPr>
          <w:rFonts w:eastAsia="Calibri"/>
        </w:rPr>
      </w:pPr>
    </w:p>
    <w:p w14:paraId="74C3F437" w14:textId="32E21BA4" w:rsidR="00792806" w:rsidRPr="0025019C" w:rsidRDefault="00792806" w:rsidP="000362D4">
      <w:pPr>
        <w:pStyle w:val="ListParagraph"/>
        <w:numPr>
          <w:ilvl w:val="0"/>
          <w:numId w:val="5"/>
        </w:numPr>
        <w:tabs>
          <w:tab w:val="left" w:pos="1150"/>
        </w:tabs>
        <w:ind w:left="1070"/>
        <w:jc w:val="both"/>
        <w:rPr>
          <w:rFonts w:eastAsia="Calibri"/>
        </w:rPr>
      </w:pPr>
      <w:r w:rsidRPr="0025019C">
        <w:rPr>
          <w:lang w:val="es-ES"/>
        </w:rPr>
        <w:t xml:space="preserve">Resolución (CP) N° </w:t>
      </w:r>
      <w:r w:rsidR="00904010" w:rsidRPr="0025019C">
        <w:rPr>
          <w:lang w:val="es-ES"/>
        </w:rPr>
        <w:t>23</w:t>
      </w:r>
      <w:r w:rsidRPr="0025019C">
        <w:rPr>
          <w:lang w:val="es-ES"/>
        </w:rPr>
        <w:t>/2025 “</w:t>
      </w:r>
      <w:r w:rsidR="00904010" w:rsidRPr="0025019C">
        <w:rPr>
          <w:lang w:val="es-ES"/>
        </w:rPr>
        <w:t xml:space="preserve">BLD S.A. c/ provincia de Santa Fe. </w:t>
      </w:r>
      <w:r w:rsidR="003277B1" w:rsidRPr="0025019C">
        <w:rPr>
          <w:lang w:val="es-ES"/>
        </w:rPr>
        <w:t xml:space="preserve"> Intermediario en la compra – venta de valores negociables. </w:t>
      </w:r>
      <w:r w:rsidR="00050262" w:rsidRPr="0025019C">
        <w:rPr>
          <w:lang w:val="es-ES"/>
        </w:rPr>
        <w:t xml:space="preserve">El contribuyente aplicó el Régimen especial del art. 11 del CM. Para el Fisco correspondió el Régimen general art. 2° CM. </w:t>
      </w:r>
      <w:r w:rsidR="00791660" w:rsidRPr="0025019C">
        <w:rPr>
          <w:lang w:val="es-ES"/>
        </w:rPr>
        <w:t>Alcance de la expresión “bienes situados”</w:t>
      </w:r>
      <w:r w:rsidR="00C05E6B" w:rsidRPr="0025019C">
        <w:rPr>
          <w:lang w:val="es-ES"/>
        </w:rPr>
        <w:t>: no corresponde</w:t>
      </w:r>
      <w:r w:rsidR="00D3681B" w:rsidRPr="0025019C">
        <w:rPr>
          <w:lang w:val="es-ES"/>
        </w:rPr>
        <w:t xml:space="preserve"> interpretarla sobre la base de lo que</w:t>
      </w:r>
      <w:r w:rsidR="00C05E6B" w:rsidRPr="0025019C">
        <w:rPr>
          <w:lang w:val="es-ES"/>
        </w:rPr>
        <w:t xml:space="preserve"> se desprende del CCyCN por el contexto en que el término “bienes” es empleado, por </w:t>
      </w:r>
      <w:proofErr w:type="gramStart"/>
      <w:r w:rsidR="00C05E6B" w:rsidRPr="0025019C">
        <w:rPr>
          <w:lang w:val="es-ES"/>
        </w:rPr>
        <w:t>ende</w:t>
      </w:r>
      <w:proofErr w:type="gramEnd"/>
      <w:r w:rsidR="00C05E6B" w:rsidRPr="0025019C">
        <w:rPr>
          <w:lang w:val="es-ES"/>
        </w:rPr>
        <w:t xml:space="preserve"> el artículo 11 no aplica en el caso de bienes intangibles. Se rechaza la acción.</w:t>
      </w:r>
    </w:p>
    <w:p w14:paraId="010EF3E0" w14:textId="77777777" w:rsidR="00866595" w:rsidRPr="006537C4" w:rsidRDefault="00866595" w:rsidP="00866595">
      <w:pPr>
        <w:pStyle w:val="ListParagraph"/>
        <w:ind w:left="1070"/>
        <w:jc w:val="both"/>
        <w:rPr>
          <w:rFonts w:ascii="Cambria" w:hAnsi="Cambria"/>
        </w:rPr>
      </w:pPr>
    </w:p>
    <w:p w14:paraId="35AE9B10" w14:textId="77777777" w:rsidR="00866595" w:rsidRPr="006537C4" w:rsidRDefault="00866595" w:rsidP="00866595">
      <w:pPr>
        <w:pStyle w:val="ListParagraph"/>
        <w:ind w:left="0"/>
        <w:rPr>
          <w:rFonts w:ascii="Cambria" w:eastAsia="Arial" w:hAnsi="Cambria"/>
          <w:smallCaps/>
          <w:spacing w:val="-3"/>
          <w:u w:val="single"/>
        </w:rPr>
      </w:pPr>
      <w:r w:rsidRPr="006537C4">
        <w:rPr>
          <w:rFonts w:ascii="Cambria" w:eastAsia="Arial" w:hAnsi="Cambria"/>
          <w:smallCaps/>
          <w:spacing w:val="-3"/>
          <w:u w:val="single"/>
        </w:rPr>
        <w:t xml:space="preserve">Legislación. </w:t>
      </w:r>
    </w:p>
    <w:p w14:paraId="067F819E" w14:textId="77777777" w:rsidR="00866595" w:rsidRPr="006537C4" w:rsidRDefault="00866595" w:rsidP="00866595">
      <w:pPr>
        <w:shd w:val="clear" w:color="auto" w:fill="FFFFFF"/>
        <w:spacing w:line="225" w:lineRule="atLeast"/>
        <w:ind w:left="1070"/>
        <w:jc w:val="both"/>
        <w:textAlignment w:val="baseline"/>
        <w:rPr>
          <w:lang w:val="es-ES"/>
        </w:rPr>
      </w:pPr>
    </w:p>
    <w:p w14:paraId="3A89D818" w14:textId="3E400BBB" w:rsidR="003B261A" w:rsidRDefault="003B261A" w:rsidP="000362D4">
      <w:pPr>
        <w:numPr>
          <w:ilvl w:val="0"/>
          <w:numId w:val="5"/>
        </w:numPr>
        <w:shd w:val="clear" w:color="auto" w:fill="FFFFFF"/>
        <w:spacing w:line="225" w:lineRule="atLeast"/>
        <w:ind w:left="1070"/>
        <w:jc w:val="both"/>
        <w:textAlignment w:val="baseline"/>
        <w:rPr>
          <w:lang w:eastAsia="es-AR"/>
        </w:rPr>
      </w:pPr>
      <w:r>
        <w:rPr>
          <w:lang w:eastAsia="es-AR"/>
        </w:rPr>
        <w:t xml:space="preserve">Decreto N° </w:t>
      </w:r>
      <w:r w:rsidR="004C4268">
        <w:rPr>
          <w:lang w:eastAsia="es-AR"/>
        </w:rPr>
        <w:t>147/2026</w:t>
      </w:r>
      <w:r>
        <w:rPr>
          <w:lang w:eastAsia="es-AR"/>
        </w:rPr>
        <w:t>. Poder Ejecutivo de la Ciudad Autónoma de Buenos Aires. Texto ordenado del Código Fiscal.</w:t>
      </w:r>
    </w:p>
    <w:p w14:paraId="103B2BA9" w14:textId="77777777" w:rsidR="003B261A" w:rsidRDefault="003B261A" w:rsidP="003B261A">
      <w:pPr>
        <w:shd w:val="clear" w:color="auto" w:fill="FFFFFF"/>
        <w:spacing w:line="225" w:lineRule="atLeast"/>
        <w:ind w:left="1070"/>
        <w:jc w:val="both"/>
        <w:textAlignment w:val="baseline"/>
        <w:rPr>
          <w:lang w:eastAsia="es-AR"/>
        </w:rPr>
      </w:pPr>
    </w:p>
    <w:p w14:paraId="5CB2244C" w14:textId="6E0114DA" w:rsidR="00235971" w:rsidRDefault="000C66DA" w:rsidP="000362D4">
      <w:pPr>
        <w:numPr>
          <w:ilvl w:val="0"/>
          <w:numId w:val="5"/>
        </w:numPr>
        <w:shd w:val="clear" w:color="auto" w:fill="FFFFFF"/>
        <w:spacing w:line="225" w:lineRule="atLeast"/>
        <w:ind w:left="1070"/>
        <w:jc w:val="both"/>
        <w:textAlignment w:val="baseline"/>
        <w:rPr>
          <w:lang w:eastAsia="es-AR"/>
        </w:rPr>
      </w:pPr>
      <w:r>
        <w:rPr>
          <w:lang w:eastAsia="es-AR"/>
        </w:rPr>
        <w:t>Resolución (A</w:t>
      </w:r>
      <w:r w:rsidR="00715FE2">
        <w:rPr>
          <w:lang w:eastAsia="es-AR"/>
        </w:rPr>
        <w:t>PI) N° 36/2026</w:t>
      </w:r>
      <w:r w:rsidR="00B63F55">
        <w:rPr>
          <w:lang w:eastAsia="es-AR"/>
        </w:rPr>
        <w:t xml:space="preserve"> – Provincia de Santa Fe</w:t>
      </w:r>
      <w:r w:rsidR="00715FE2">
        <w:rPr>
          <w:lang w:eastAsia="es-AR"/>
        </w:rPr>
        <w:t xml:space="preserve">. Aprueba </w:t>
      </w:r>
      <w:r w:rsidR="00814845">
        <w:rPr>
          <w:lang w:eastAsia="es-AR"/>
        </w:rPr>
        <w:t>la “Normativa Unificada – Sistema</w:t>
      </w:r>
      <w:r w:rsidR="00164FA3">
        <w:rPr>
          <w:lang w:eastAsia="es-AR"/>
        </w:rPr>
        <w:t xml:space="preserve"> </w:t>
      </w:r>
      <w:r w:rsidR="000F56A8">
        <w:rPr>
          <w:lang w:eastAsia="es-AR"/>
        </w:rPr>
        <w:t>único de normas reglamentarias e interpretativas de la legislación tributaria”</w:t>
      </w:r>
      <w:r w:rsidR="00235971">
        <w:rPr>
          <w:lang w:eastAsia="es-AR"/>
        </w:rPr>
        <w:t>.</w:t>
      </w:r>
    </w:p>
    <w:p w14:paraId="3A71468C" w14:textId="77777777" w:rsidR="00235971" w:rsidRDefault="00235971" w:rsidP="00235971">
      <w:pPr>
        <w:shd w:val="clear" w:color="auto" w:fill="FFFFFF"/>
        <w:spacing w:line="225" w:lineRule="atLeast"/>
        <w:ind w:left="1070"/>
        <w:jc w:val="both"/>
        <w:textAlignment w:val="baseline"/>
        <w:rPr>
          <w:lang w:eastAsia="es-AR"/>
        </w:rPr>
      </w:pPr>
    </w:p>
    <w:p w14:paraId="40A78580" w14:textId="77BB04C0" w:rsidR="009F6B0B" w:rsidRDefault="009F6B0B" w:rsidP="000362D4">
      <w:pPr>
        <w:numPr>
          <w:ilvl w:val="0"/>
          <w:numId w:val="5"/>
        </w:numPr>
        <w:shd w:val="clear" w:color="auto" w:fill="FFFFFF"/>
        <w:spacing w:line="225" w:lineRule="atLeast"/>
        <w:ind w:left="1070"/>
        <w:jc w:val="both"/>
        <w:textAlignment w:val="baseline"/>
        <w:rPr>
          <w:lang w:eastAsia="es-AR"/>
        </w:rPr>
      </w:pPr>
      <w:r>
        <w:rPr>
          <w:lang w:eastAsia="es-AR"/>
        </w:rPr>
        <w:t xml:space="preserve">Resolución (AGIP) </w:t>
      </w:r>
      <w:r w:rsidR="00FC0251">
        <w:rPr>
          <w:lang w:eastAsia="es-AR"/>
        </w:rPr>
        <w:t>N° 93/2026</w:t>
      </w:r>
      <w:r w:rsidR="00B63F55">
        <w:rPr>
          <w:lang w:eastAsia="es-AR"/>
        </w:rPr>
        <w:t xml:space="preserve"> – Ciudad Autónoma de Buenos Aires</w:t>
      </w:r>
      <w:r w:rsidR="00FC0251">
        <w:rPr>
          <w:lang w:eastAsia="es-AR"/>
        </w:rPr>
        <w:t>. Impuesto sobre los Ingresos Brutos. Base imponible operaciones con “criptomonedas”.</w:t>
      </w:r>
    </w:p>
    <w:p w14:paraId="2EB71383" w14:textId="77777777" w:rsidR="00512272" w:rsidRDefault="00512272" w:rsidP="00512272">
      <w:pPr>
        <w:pStyle w:val="ListParagraph"/>
        <w:rPr>
          <w:lang w:eastAsia="es-AR"/>
        </w:rPr>
      </w:pPr>
    </w:p>
    <w:p w14:paraId="6F4B16D0" w14:textId="019D94F9" w:rsidR="00512272" w:rsidRPr="002D34D4" w:rsidRDefault="00512272" w:rsidP="002D34D4">
      <w:pPr>
        <w:numPr>
          <w:ilvl w:val="0"/>
          <w:numId w:val="5"/>
        </w:numPr>
        <w:shd w:val="clear" w:color="auto" w:fill="FFFFFF"/>
        <w:spacing w:line="225" w:lineRule="atLeast"/>
        <w:ind w:left="1070"/>
        <w:jc w:val="both"/>
        <w:textAlignment w:val="baseline"/>
        <w:rPr>
          <w:lang w:eastAsia="es-AR"/>
        </w:rPr>
      </w:pPr>
      <w:r>
        <w:rPr>
          <w:lang w:val="es-ES"/>
        </w:rPr>
        <w:lastRenderedPageBreak/>
        <w:t>R</w:t>
      </w:r>
      <w:r w:rsidR="002A189D">
        <w:rPr>
          <w:lang w:val="es-ES"/>
        </w:rPr>
        <w:t>esolución N°</w:t>
      </w:r>
      <w:r w:rsidRPr="002D34D4">
        <w:rPr>
          <w:lang w:val="es-ES"/>
        </w:rPr>
        <w:t xml:space="preserve"> 65/26.</w:t>
      </w:r>
      <w:r w:rsidR="003A010D">
        <w:rPr>
          <w:lang w:val="es-ES"/>
        </w:rPr>
        <w:t xml:space="preserve"> Ministerio de Economía de la Provincia de Santa Fe.</w:t>
      </w:r>
      <w:r w:rsidRPr="002D34D4">
        <w:rPr>
          <w:lang w:val="es-ES"/>
        </w:rPr>
        <w:t xml:space="preserve"> Delega a la API régimen de transparencia en la emisión de facturas a consumidores</w:t>
      </w:r>
    </w:p>
    <w:p w14:paraId="38D1F489" w14:textId="77777777" w:rsidR="002D34D4" w:rsidRDefault="002D34D4" w:rsidP="002D34D4">
      <w:pPr>
        <w:pStyle w:val="ListParagraph"/>
        <w:rPr>
          <w:lang w:eastAsia="es-AR"/>
        </w:rPr>
      </w:pPr>
    </w:p>
    <w:p w14:paraId="1F69CC5E" w14:textId="05048F41" w:rsidR="002D34D4" w:rsidRPr="006537C4" w:rsidRDefault="00D03886" w:rsidP="002D34D4">
      <w:pPr>
        <w:numPr>
          <w:ilvl w:val="0"/>
          <w:numId w:val="5"/>
        </w:numPr>
        <w:shd w:val="clear" w:color="auto" w:fill="FFFFFF"/>
        <w:spacing w:line="225" w:lineRule="atLeast"/>
        <w:ind w:left="1070"/>
        <w:jc w:val="both"/>
        <w:textAlignment w:val="baseline"/>
        <w:rPr>
          <w:lang w:eastAsia="es-AR"/>
        </w:rPr>
      </w:pPr>
      <w:r>
        <w:rPr>
          <w:lang w:eastAsia="es-AR"/>
        </w:rPr>
        <w:t>Decreto N° 634/2026. Poder Ejecutivo Provincia de Entre Ríos</w:t>
      </w:r>
      <w:r w:rsidR="00450866">
        <w:rPr>
          <w:lang w:eastAsia="es-AR"/>
        </w:rPr>
        <w:t>. Transparencia fiscal.</w:t>
      </w:r>
    </w:p>
    <w:p w14:paraId="651416E9" w14:textId="77777777" w:rsidR="00866595" w:rsidRPr="006537C4" w:rsidRDefault="00866595" w:rsidP="00866595">
      <w:pPr>
        <w:pStyle w:val="ListParagraph"/>
        <w:ind w:left="0"/>
        <w:rPr>
          <w:lang w:eastAsia="es-AR"/>
        </w:rPr>
      </w:pPr>
    </w:p>
    <w:p w14:paraId="1ECE83AD" w14:textId="319457B5" w:rsidR="00866595" w:rsidRPr="006537C4" w:rsidRDefault="00866595" w:rsidP="00BB4C0A">
      <w:pPr>
        <w:pStyle w:val="ListParagraph"/>
        <w:ind w:left="0"/>
        <w:rPr>
          <w:lang w:eastAsia="es-AR"/>
        </w:rPr>
      </w:pPr>
    </w:p>
    <w:sectPr w:rsidR="00866595" w:rsidRPr="006537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04E9C"/>
    <w:multiLevelType w:val="hybridMultilevel"/>
    <w:tmpl w:val="67EE7AB6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4491B"/>
    <w:multiLevelType w:val="hybridMultilevel"/>
    <w:tmpl w:val="FA58CFAC"/>
    <w:lvl w:ilvl="0" w:tplc="45BCB5C0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Arial Unicode MS" w:eastAsia="Times New Roman" w:hAnsi="Arial Unicode MS" w:cs="Times New Roman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inherit" w:hAnsi="inherit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Arial Unicode MS" w:eastAsia="Times New Roman" w:hAnsi="Arial Unicode MS" w:cs="Times New Roman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inherit" w:hAnsi="inherit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Arial Unicode MS" w:eastAsia="Times New Roman" w:hAnsi="Arial Unicode MS" w:cs="Times New Roman" w:hint="default"/>
      </w:rPr>
    </w:lvl>
  </w:abstractNum>
  <w:abstractNum w:abstractNumId="2" w15:restartNumberingAfterBreak="0">
    <w:nsid w:val="48F402BB"/>
    <w:multiLevelType w:val="hybridMultilevel"/>
    <w:tmpl w:val="23F00D0E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4D238C"/>
    <w:multiLevelType w:val="hybridMultilevel"/>
    <w:tmpl w:val="91DC42EE"/>
    <w:lvl w:ilvl="0" w:tplc="0D3AE046">
      <w:start w:val="14"/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0713ED"/>
    <w:multiLevelType w:val="hybridMultilevel"/>
    <w:tmpl w:val="4A8A2394"/>
    <w:lvl w:ilvl="0" w:tplc="FC2CEB9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7310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6717933">
    <w:abstractNumId w:val="3"/>
  </w:num>
  <w:num w:numId="3" w16cid:durableId="1468819145">
    <w:abstractNumId w:val="1"/>
  </w:num>
  <w:num w:numId="4" w16cid:durableId="2110151585">
    <w:abstractNumId w:val="4"/>
  </w:num>
  <w:num w:numId="5" w16cid:durableId="1271551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595"/>
    <w:rsid w:val="000122B2"/>
    <w:rsid w:val="000362D4"/>
    <w:rsid w:val="00050262"/>
    <w:rsid w:val="0006266F"/>
    <w:rsid w:val="00083F17"/>
    <w:rsid w:val="00084D27"/>
    <w:rsid w:val="000A6772"/>
    <w:rsid w:val="000C66DA"/>
    <w:rsid w:val="000F1C3C"/>
    <w:rsid w:val="000F56A8"/>
    <w:rsid w:val="00100D30"/>
    <w:rsid w:val="00102D08"/>
    <w:rsid w:val="00142C98"/>
    <w:rsid w:val="00164FA3"/>
    <w:rsid w:val="001A1630"/>
    <w:rsid w:val="001A1DBA"/>
    <w:rsid w:val="001A4AB0"/>
    <w:rsid w:val="001B356A"/>
    <w:rsid w:val="001D1049"/>
    <w:rsid w:val="00207429"/>
    <w:rsid w:val="00225000"/>
    <w:rsid w:val="00235971"/>
    <w:rsid w:val="0025019C"/>
    <w:rsid w:val="00253823"/>
    <w:rsid w:val="002548D0"/>
    <w:rsid w:val="00287B6D"/>
    <w:rsid w:val="002A189D"/>
    <w:rsid w:val="002C385B"/>
    <w:rsid w:val="002D1C18"/>
    <w:rsid w:val="002D34D4"/>
    <w:rsid w:val="00320A4C"/>
    <w:rsid w:val="003277B1"/>
    <w:rsid w:val="003413E5"/>
    <w:rsid w:val="003A010D"/>
    <w:rsid w:val="003B261A"/>
    <w:rsid w:val="003E193E"/>
    <w:rsid w:val="003E65A3"/>
    <w:rsid w:val="003E7360"/>
    <w:rsid w:val="003F064F"/>
    <w:rsid w:val="00401D89"/>
    <w:rsid w:val="004212E3"/>
    <w:rsid w:val="00424EF5"/>
    <w:rsid w:val="00450866"/>
    <w:rsid w:val="00450C6F"/>
    <w:rsid w:val="004522C4"/>
    <w:rsid w:val="00461F0C"/>
    <w:rsid w:val="004720B5"/>
    <w:rsid w:val="004728B1"/>
    <w:rsid w:val="004A53FE"/>
    <w:rsid w:val="004A7E52"/>
    <w:rsid w:val="004C4268"/>
    <w:rsid w:val="004E63EB"/>
    <w:rsid w:val="00512272"/>
    <w:rsid w:val="0056665E"/>
    <w:rsid w:val="00583C92"/>
    <w:rsid w:val="00585F10"/>
    <w:rsid w:val="0058694E"/>
    <w:rsid w:val="005A1F99"/>
    <w:rsid w:val="005F43F3"/>
    <w:rsid w:val="006015FB"/>
    <w:rsid w:val="00606B9A"/>
    <w:rsid w:val="0061504E"/>
    <w:rsid w:val="006A1C34"/>
    <w:rsid w:val="006C02ED"/>
    <w:rsid w:val="006C20E6"/>
    <w:rsid w:val="006E0FD5"/>
    <w:rsid w:val="006E1EEF"/>
    <w:rsid w:val="00703E6E"/>
    <w:rsid w:val="007159C9"/>
    <w:rsid w:val="00715FE2"/>
    <w:rsid w:val="00743AE9"/>
    <w:rsid w:val="0077518F"/>
    <w:rsid w:val="007903A5"/>
    <w:rsid w:val="00791660"/>
    <w:rsid w:val="00792806"/>
    <w:rsid w:val="007A3ED5"/>
    <w:rsid w:val="00805AEE"/>
    <w:rsid w:val="00814845"/>
    <w:rsid w:val="0085592F"/>
    <w:rsid w:val="00855DF6"/>
    <w:rsid w:val="00866595"/>
    <w:rsid w:val="008677C5"/>
    <w:rsid w:val="008773B6"/>
    <w:rsid w:val="00877AE9"/>
    <w:rsid w:val="00882DDB"/>
    <w:rsid w:val="008A111A"/>
    <w:rsid w:val="008C32CA"/>
    <w:rsid w:val="008D32D1"/>
    <w:rsid w:val="008D6943"/>
    <w:rsid w:val="008F7BD8"/>
    <w:rsid w:val="00904010"/>
    <w:rsid w:val="00910300"/>
    <w:rsid w:val="00911E52"/>
    <w:rsid w:val="00921AC1"/>
    <w:rsid w:val="00926DDC"/>
    <w:rsid w:val="00932C07"/>
    <w:rsid w:val="009407D8"/>
    <w:rsid w:val="00947718"/>
    <w:rsid w:val="00954631"/>
    <w:rsid w:val="009673B0"/>
    <w:rsid w:val="00984895"/>
    <w:rsid w:val="00994A4C"/>
    <w:rsid w:val="009A60CA"/>
    <w:rsid w:val="009A6BC8"/>
    <w:rsid w:val="009B29E9"/>
    <w:rsid w:val="009B5816"/>
    <w:rsid w:val="009D097C"/>
    <w:rsid w:val="009D50D4"/>
    <w:rsid w:val="009F6B0B"/>
    <w:rsid w:val="009F70FE"/>
    <w:rsid w:val="00A37F40"/>
    <w:rsid w:val="00A54233"/>
    <w:rsid w:val="00A61BF7"/>
    <w:rsid w:val="00A65263"/>
    <w:rsid w:val="00A65465"/>
    <w:rsid w:val="00AB1545"/>
    <w:rsid w:val="00AB1B46"/>
    <w:rsid w:val="00AD26E2"/>
    <w:rsid w:val="00AE2979"/>
    <w:rsid w:val="00B42056"/>
    <w:rsid w:val="00B63F55"/>
    <w:rsid w:val="00B654F8"/>
    <w:rsid w:val="00B70F70"/>
    <w:rsid w:val="00B80018"/>
    <w:rsid w:val="00B91223"/>
    <w:rsid w:val="00BB2BAD"/>
    <w:rsid w:val="00BB4C0A"/>
    <w:rsid w:val="00BB55F6"/>
    <w:rsid w:val="00BD3DE4"/>
    <w:rsid w:val="00BF3DF4"/>
    <w:rsid w:val="00C05E6B"/>
    <w:rsid w:val="00C23A79"/>
    <w:rsid w:val="00C26FF9"/>
    <w:rsid w:val="00C323A7"/>
    <w:rsid w:val="00C731E8"/>
    <w:rsid w:val="00C8312B"/>
    <w:rsid w:val="00C92D63"/>
    <w:rsid w:val="00CA32B9"/>
    <w:rsid w:val="00CC2B1B"/>
    <w:rsid w:val="00CD0BA6"/>
    <w:rsid w:val="00CF1783"/>
    <w:rsid w:val="00D03886"/>
    <w:rsid w:val="00D15240"/>
    <w:rsid w:val="00D301DF"/>
    <w:rsid w:val="00D30706"/>
    <w:rsid w:val="00D35F84"/>
    <w:rsid w:val="00D3681B"/>
    <w:rsid w:val="00D4760A"/>
    <w:rsid w:val="00D51BBE"/>
    <w:rsid w:val="00D869D7"/>
    <w:rsid w:val="00DA47A3"/>
    <w:rsid w:val="00DA71DC"/>
    <w:rsid w:val="00DC56B2"/>
    <w:rsid w:val="00DE309E"/>
    <w:rsid w:val="00DE3BC1"/>
    <w:rsid w:val="00DF3B07"/>
    <w:rsid w:val="00E37DE1"/>
    <w:rsid w:val="00E4765B"/>
    <w:rsid w:val="00E70CCC"/>
    <w:rsid w:val="00E94E0D"/>
    <w:rsid w:val="00E97183"/>
    <w:rsid w:val="00EC3215"/>
    <w:rsid w:val="00ED70A8"/>
    <w:rsid w:val="00ED7171"/>
    <w:rsid w:val="00EE1B40"/>
    <w:rsid w:val="00EE4332"/>
    <w:rsid w:val="00EE7DCB"/>
    <w:rsid w:val="00EF17DB"/>
    <w:rsid w:val="00EF2851"/>
    <w:rsid w:val="00F0634A"/>
    <w:rsid w:val="00F11F64"/>
    <w:rsid w:val="00F52030"/>
    <w:rsid w:val="00F573A2"/>
    <w:rsid w:val="00F67916"/>
    <w:rsid w:val="00F768A8"/>
    <w:rsid w:val="00F76F7D"/>
    <w:rsid w:val="00FA0215"/>
    <w:rsid w:val="00FA0703"/>
    <w:rsid w:val="00FA3312"/>
    <w:rsid w:val="00FB4F7B"/>
    <w:rsid w:val="00FC0251"/>
    <w:rsid w:val="00FC4B11"/>
    <w:rsid w:val="00FF40BA"/>
    <w:rsid w:val="00FF5258"/>
    <w:rsid w:val="00FF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220A3"/>
  <w15:chartTrackingRefBased/>
  <w15:docId w15:val="{2B813B94-8362-4784-B478-524C528F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A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5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_tradnl" w:eastAsia="es-E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65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65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65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65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65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65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65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65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65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65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65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65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65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65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65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65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65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65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65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65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65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65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65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65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65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65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65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65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6595"/>
    <w:rPr>
      <w:b/>
      <w:bCs/>
      <w:smallCaps/>
      <w:color w:val="0F4761" w:themeColor="accent1" w:themeShade="BF"/>
      <w:spacing w:val="5"/>
    </w:rPr>
  </w:style>
  <w:style w:type="paragraph" w:customStyle="1" w:styleId="ecmsonormal">
    <w:name w:val="ec_msonormal"/>
    <w:basedOn w:val="Normal"/>
    <w:uiPriority w:val="99"/>
    <w:rsid w:val="00866595"/>
    <w:pPr>
      <w:spacing w:after="324"/>
    </w:pPr>
    <w:rPr>
      <w:rFonts w:ascii="Arial Unicode MS" w:eastAsia="Arial Unicode MS" w:hAnsi="Arial Unicode MS" w:cs="Arial Unicode MS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3DBF7F1461BF4689433724BBB84FED" ma:contentTypeVersion="14" ma:contentTypeDescription="Crear nuevo documento." ma:contentTypeScope="" ma:versionID="289e281913b9e38b479c953d0e3496b6">
  <xsd:schema xmlns:xsd="http://www.w3.org/2001/XMLSchema" xmlns:xs="http://www.w3.org/2001/XMLSchema" xmlns:p="http://schemas.microsoft.com/office/2006/metadata/properties" xmlns:ns3="173dc0fa-cc77-432b-97ae-a59eae0364d1" targetNamespace="http://schemas.microsoft.com/office/2006/metadata/properties" ma:root="true" ma:fieldsID="0078e3e002ad2d4bae9a9679733a3902" ns3:_="">
    <xsd:import namespace="173dc0fa-cc77-432b-97ae-a59eae0364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dc0fa-cc77-432b-97ae-a59eae0364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73dc0fa-cc77-432b-97ae-a59eae0364d1" xsi:nil="true"/>
  </documentManagement>
</p:properties>
</file>

<file path=customXml/itemProps1.xml><?xml version="1.0" encoding="utf-8"?>
<ds:datastoreItem xmlns:ds="http://schemas.openxmlformats.org/officeDocument/2006/customXml" ds:itemID="{C20C3DB6-2EAF-4D7A-B7B8-238CF24913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CDB867-4EBA-42DE-81E1-2D9635DB0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3dc0fa-cc77-432b-97ae-a59eae0364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0AF70F-4172-41BA-BF5A-D7E16B0B8174}">
  <ds:schemaRefs>
    <ds:schemaRef ds:uri="http://schemas.microsoft.com/office/2006/metadata/properties"/>
    <ds:schemaRef ds:uri="http://schemas.microsoft.com/office/infopath/2007/PartnerControls"/>
    <ds:schemaRef ds:uri="173dc0fa-cc77-432b-97ae-a59eae0364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1185</Words>
  <Characters>6522</Characters>
  <Application>Microsoft Office Word</Application>
  <DocSecurity>0</DocSecurity>
  <Lines>54</Lines>
  <Paragraphs>15</Paragraphs>
  <ScaleCrop>false</ScaleCrop>
  <Company/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Borrego</dc:creator>
  <cp:keywords/>
  <dc:description/>
  <cp:lastModifiedBy>Gustavo Grinberg</cp:lastModifiedBy>
  <cp:revision>185</cp:revision>
  <dcterms:created xsi:type="dcterms:W3CDTF">2026-03-23T17:21:00Z</dcterms:created>
  <dcterms:modified xsi:type="dcterms:W3CDTF">2026-04-20T15:28:00Z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0x010100093DBF7F1461BF4689433724BBB84FED</vt:lpwstr>
  </property>
</Properties>
</file>